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贵州省钾肥产品质量监督抽查实施细则</w:t>
      </w:r>
    </w:p>
    <w:p>
      <w:pPr>
        <w:adjustRightInd w:val="0"/>
        <w:snapToGrid w:val="0"/>
        <w:spacing w:line="594" w:lineRule="exact"/>
        <w:jc w:val="center"/>
        <w:rPr>
          <w:rFonts w:eastAsia="方正小标宋简体"/>
          <w:sz w:val="30"/>
          <w:szCs w:val="30"/>
        </w:rPr>
      </w:pPr>
      <w:r>
        <w:rPr>
          <w:rFonts w:hint="eastAsia" w:ascii="楷体_GB2312" w:hAnsi="楷体_GB2312" w:eastAsia="楷体_GB2312" w:cs="楷体_GB2312"/>
          <w:sz w:val="30"/>
          <w:szCs w:val="30"/>
        </w:rPr>
        <w:t>（202</w:t>
      </w:r>
      <w:r>
        <w:rPr>
          <w:rFonts w:hint="eastAsia" w:ascii="楷体_GB2312" w:hAnsi="楷体_GB2312" w:eastAsia="楷体_GB2312" w:cs="楷体_GB2312"/>
          <w:sz w:val="30"/>
          <w:szCs w:val="30"/>
          <w:lang w:val="en-US" w:eastAsia="zh-CN"/>
        </w:rPr>
        <w:t>6</w:t>
      </w:r>
      <w:r>
        <w:rPr>
          <w:rFonts w:hint="eastAsia" w:ascii="楷体_GB2312" w:hAnsi="楷体_GB2312" w:eastAsia="楷体_GB2312" w:cs="楷体_GB2312"/>
          <w:sz w:val="30"/>
          <w:szCs w:val="30"/>
        </w:rPr>
        <w:t>年版）</w:t>
      </w:r>
    </w:p>
    <w:p>
      <w:pPr>
        <w:spacing w:line="440" w:lineRule="exact"/>
        <w:jc w:val="center"/>
        <w:rPr>
          <w:rFonts w:eastAsia="方正小标宋简体" w:cs="方正仿宋简体"/>
          <w:color w:val="000000"/>
          <w:sz w:val="32"/>
          <w:szCs w:val="32"/>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w:t>
      </w:r>
      <w:bookmarkStart w:id="1" w:name="_GoBack"/>
      <w:r>
        <w:rPr>
          <w:rFonts w:hint="default" w:ascii="Times New Roman" w:hAnsi="Times New Roman" w:cs="Times New Roman"/>
          <w:color w:val="000000"/>
          <w:szCs w:val="21"/>
        </w:rPr>
        <w:t>数一般可使用随机数表等方法产生。</w:t>
      </w:r>
    </w:p>
    <w:p>
      <w:pPr>
        <w:snapToGrid w:val="0"/>
        <w:spacing w:line="440" w:lineRule="exact"/>
        <w:ind w:firstLine="420" w:firstLineChars="200"/>
        <w:rPr>
          <w:rFonts w:hint="default" w:ascii="Times New Roman" w:hAnsi="Times New Roman" w:cs="Times New Roman"/>
          <w:color w:val="auto"/>
          <w:szCs w:val="21"/>
        </w:rPr>
      </w:pPr>
      <w:bookmarkStart w:id="0" w:name="_Hlk103259270"/>
      <w:r>
        <w:rPr>
          <w:rFonts w:hint="default" w:ascii="Times New Roman" w:hAnsi="Times New Roman" w:cs="Times New Roman"/>
          <w:color w:val="auto"/>
          <w:szCs w:val="21"/>
        </w:rPr>
        <w:t>将样品缩分至约1kg，再缩分成两份，分装于2个洁净、干燥的塑料瓶中。1瓶作为检验样品，另1瓶作为备用样品。</w:t>
      </w:r>
    </w:p>
    <w:bookmarkEnd w:id="1"/>
    <w:p>
      <w:pPr>
        <w:snapToGrid w:val="0"/>
        <w:spacing w:line="440" w:lineRule="exact"/>
        <w:ind w:firstLine="420" w:firstLineChars="200"/>
        <w:rPr>
          <w:rFonts w:hint="default" w:ascii="Times New Roman" w:hAnsi="Times New Roman" w:cs="Times New Roman"/>
          <w:color w:val="FF0000"/>
          <w:szCs w:val="21"/>
        </w:rPr>
      </w:pPr>
    </w:p>
    <w:bookmarkEnd w:id="0"/>
    <w:p>
      <w:pPr>
        <w:snapToGrid w:val="0"/>
        <w:spacing w:line="440" w:lineRule="exact"/>
        <w:rPr>
          <w:rFonts w:hint="default" w:ascii="Times New Roman" w:hAnsi="Times New Roman" w:eastAsia="黑体" w:cs="Times New Roman"/>
          <w:bCs/>
          <w:color w:val="000000"/>
          <w:szCs w:val="21"/>
        </w:rPr>
      </w:pPr>
      <w:r>
        <w:rPr>
          <w:rFonts w:hint="default" w:ascii="Times New Roman" w:hAnsi="Times New Roman" w:eastAsia="黑体" w:cs="Times New Roman"/>
          <w:color w:val="000000"/>
          <w:szCs w:val="21"/>
        </w:rPr>
        <w:t>2 检验依据</w:t>
      </w: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表1 农业用硫酸钾</w:t>
      </w:r>
    </w:p>
    <w:tbl>
      <w:tblPr>
        <w:tblStyle w:val="6"/>
        <w:tblW w:w="892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99"/>
        <w:gridCol w:w="5103"/>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699" w:type="dxa"/>
            <w:tcBorders>
              <w:tl2br w:val="nil"/>
              <w:tr2bl w:val="nil"/>
            </w:tcBorders>
            <w:shd w:val="clear" w:color="auto" w:fill="FFFFFF"/>
            <w:noWrap/>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序号</w:t>
            </w:r>
          </w:p>
        </w:tc>
        <w:tc>
          <w:tcPr>
            <w:tcW w:w="5103" w:type="dxa"/>
            <w:tcBorders>
              <w:tl2br w:val="nil"/>
              <w:tr2bl w:val="nil"/>
            </w:tcBorders>
            <w:shd w:val="clear" w:color="auto" w:fill="FFFFFF"/>
            <w:noWrap/>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检验项目</w:t>
            </w:r>
          </w:p>
        </w:tc>
        <w:tc>
          <w:tcPr>
            <w:tcW w:w="3119" w:type="dxa"/>
            <w:tcBorders>
              <w:tl2br w:val="nil"/>
              <w:tr2bl w:val="nil"/>
            </w:tcBorders>
            <w:shd w:val="clear" w:color="auto" w:fill="FFFFFF"/>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水溶性氧化钾(K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O)的质量分数</w:t>
            </w:r>
          </w:p>
        </w:tc>
        <w:tc>
          <w:tcPr>
            <w:tcW w:w="3119"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硫(S)的质量分数</w:t>
            </w:r>
          </w:p>
        </w:tc>
        <w:tc>
          <w:tcPr>
            <w:tcW w:w="3119"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氯离子(Cl</w:t>
            </w:r>
            <w:r>
              <w:rPr>
                <w:rFonts w:hint="default" w:ascii="Times New Roman" w:hAnsi="Times New Roman" w:cs="Times New Roman"/>
                <w:color w:val="000000"/>
                <w:kern w:val="0"/>
                <w:szCs w:val="21"/>
                <w:vertAlign w:val="superscript"/>
              </w:rPr>
              <w:t>-</w:t>
            </w:r>
            <w:r>
              <w:rPr>
                <w:rFonts w:hint="default" w:ascii="Times New Roman" w:hAnsi="Times New Roman" w:cs="Times New Roman"/>
                <w:color w:val="000000"/>
                <w:kern w:val="0"/>
                <w:szCs w:val="21"/>
              </w:rPr>
              <w:t>)的质量分数</w:t>
            </w:r>
          </w:p>
        </w:tc>
        <w:tc>
          <w:tcPr>
            <w:tcW w:w="3119"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游离酸(以H</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SO</w:t>
            </w:r>
            <w:r>
              <w:rPr>
                <w:rFonts w:hint="default" w:ascii="Times New Roman" w:hAnsi="Times New Roman" w:cs="Times New Roman"/>
                <w:color w:val="000000"/>
                <w:kern w:val="0"/>
                <w:szCs w:val="21"/>
                <w:vertAlign w:val="subscript"/>
              </w:rPr>
              <w:t>4</w:t>
            </w:r>
            <w:r>
              <w:rPr>
                <w:rFonts w:hint="default" w:ascii="Times New Roman" w:hAnsi="Times New Roman" w:cs="Times New Roman"/>
                <w:color w:val="000000"/>
                <w:kern w:val="0"/>
                <w:szCs w:val="21"/>
              </w:rPr>
              <w:t>计)的质量分数</w:t>
            </w:r>
          </w:p>
        </w:tc>
        <w:tc>
          <w:tcPr>
            <w:tcW w:w="3119" w:type="dxa"/>
            <w:tcBorders>
              <w:tl2br w:val="nil"/>
              <w:tr2bl w:val="nil"/>
            </w:tcBorders>
            <w:shd w:val="clear" w:color="auto" w:fill="FFFFFF"/>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粒度(粒径1.00mm~4.75mm或3.35mm~5.60mm)</w:t>
            </w:r>
          </w:p>
        </w:tc>
        <w:tc>
          <w:tcPr>
            <w:tcW w:w="3119" w:type="dxa"/>
            <w:tcBorders>
              <w:tl2br w:val="nil"/>
              <w:tr2bl w:val="nil"/>
            </w:tcBorders>
            <w:shd w:val="clear" w:color="auto" w:fill="FFFFFF"/>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总砷</w:t>
            </w:r>
          </w:p>
        </w:tc>
        <w:tc>
          <w:tcPr>
            <w:tcW w:w="3119" w:type="dxa"/>
            <w:tcBorders>
              <w:tl2br w:val="nil"/>
              <w:tr2bl w:val="nil"/>
            </w:tcBorders>
            <w:shd w:val="clear" w:color="auto" w:fill="FFFFFF"/>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总镉</w:t>
            </w:r>
          </w:p>
        </w:tc>
        <w:tc>
          <w:tcPr>
            <w:tcW w:w="3119" w:type="dxa"/>
            <w:tcBorders>
              <w:tl2br w:val="nil"/>
              <w:tr2bl w:val="nil"/>
            </w:tcBorders>
            <w:shd w:val="clear" w:color="auto" w:fill="FFFFFF"/>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总铅</w:t>
            </w:r>
          </w:p>
        </w:tc>
        <w:tc>
          <w:tcPr>
            <w:tcW w:w="3119" w:type="dxa"/>
            <w:tcBorders>
              <w:tl2br w:val="nil"/>
              <w:tr2bl w:val="nil"/>
            </w:tcBorders>
            <w:shd w:val="clear" w:color="auto" w:fill="FFFFFF"/>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总铬</w:t>
            </w:r>
          </w:p>
        </w:tc>
        <w:tc>
          <w:tcPr>
            <w:tcW w:w="3119" w:type="dxa"/>
            <w:tcBorders>
              <w:tl2br w:val="nil"/>
              <w:tr2bl w:val="nil"/>
            </w:tcBorders>
            <w:shd w:val="clear" w:color="auto" w:fill="FFFFFF"/>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总汞</w:t>
            </w:r>
          </w:p>
        </w:tc>
        <w:tc>
          <w:tcPr>
            <w:tcW w:w="3119" w:type="dxa"/>
            <w:tcBorders>
              <w:tl2br w:val="nil"/>
              <w:tr2bl w:val="nil"/>
            </w:tcBorders>
            <w:shd w:val="clear" w:color="auto" w:fill="FFFFFF"/>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总铊</w:t>
            </w:r>
          </w:p>
        </w:tc>
        <w:tc>
          <w:tcPr>
            <w:tcW w:w="3119" w:type="dxa"/>
            <w:tcBorders>
              <w:tl2br w:val="nil"/>
              <w:tr2bl w:val="nil"/>
            </w:tcBorders>
            <w:shd w:val="clear" w:color="auto" w:fill="FFFFFF"/>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FFFFFF"/>
            <w:noWrap/>
            <w:vAlign w:val="center"/>
          </w:tcPr>
          <w:p>
            <w:pPr>
              <w:pStyle w:val="13"/>
              <w:widowControl/>
              <w:numPr>
                <w:ilvl w:val="0"/>
                <w:numId w:val="1"/>
              </w:numPr>
              <w:ind w:firstLineChars="0"/>
              <w:jc w:val="center"/>
              <w:rPr>
                <w:rFonts w:hint="default" w:ascii="Times New Roman" w:hAnsi="Times New Roman" w:eastAsia="宋体" w:cs="Times New Roman"/>
                <w:color w:val="000000"/>
                <w:kern w:val="0"/>
                <w:szCs w:val="21"/>
              </w:rPr>
            </w:pPr>
          </w:p>
        </w:tc>
        <w:tc>
          <w:tcPr>
            <w:tcW w:w="5103" w:type="dxa"/>
            <w:tcBorders>
              <w:tl2br w:val="nil"/>
              <w:tr2bl w:val="nil"/>
            </w:tcBorders>
            <w:shd w:val="clear" w:color="auto" w:fill="FFFFFF"/>
            <w:noWrap/>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kern w:val="0"/>
                <w:szCs w:val="21"/>
              </w:rPr>
              <w:t>包装标识（养分含量、名称中的禁用语</w:t>
            </w:r>
            <w:r>
              <w:rPr>
                <w:rFonts w:hint="default" w:ascii="Times New Roman" w:hAnsi="Times New Roman" w:cs="Times New Roman"/>
                <w:kern w:val="0"/>
                <w:szCs w:val="21"/>
                <w:lang w:val="en-US" w:eastAsia="zh-CN"/>
              </w:rPr>
              <w:t>等</w:t>
            </w:r>
            <w:r>
              <w:rPr>
                <w:rFonts w:hint="default" w:ascii="Times New Roman" w:hAnsi="Times New Roman" w:cs="Times New Roman"/>
                <w:kern w:val="0"/>
                <w:szCs w:val="21"/>
              </w:rPr>
              <w:t>）</w:t>
            </w:r>
          </w:p>
        </w:tc>
        <w:tc>
          <w:tcPr>
            <w:tcW w:w="3119" w:type="dxa"/>
            <w:tcBorders>
              <w:tl2br w:val="nil"/>
              <w:tr2bl w:val="nil"/>
            </w:tcBorders>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widowControl/>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GB/T 20406-2017</w:t>
            </w:r>
          </w:p>
        </w:tc>
      </w:tr>
    </w:tbl>
    <w:p>
      <w:pPr>
        <w:snapToGrid w:val="0"/>
        <w:spacing w:line="440" w:lineRule="exact"/>
        <w:jc w:val="center"/>
        <w:rPr>
          <w:rFonts w:hint="default" w:ascii="Times New Roman" w:hAnsi="Times New Roman" w:cs="Times New Roman"/>
          <w:bCs/>
          <w:color w:val="000000"/>
          <w:szCs w:val="21"/>
        </w:rPr>
      </w:pP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表2肥料级氯化钾</w:t>
      </w:r>
    </w:p>
    <w:tbl>
      <w:tblPr>
        <w:tblStyle w:val="6"/>
        <w:tblW w:w="8637"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843"/>
        <w:gridCol w:w="326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699"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序号</w:t>
            </w:r>
          </w:p>
        </w:tc>
        <w:tc>
          <w:tcPr>
            <w:tcW w:w="5103" w:type="dxa"/>
            <w:gridSpan w:val="2"/>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检验项目</w:t>
            </w:r>
          </w:p>
        </w:tc>
        <w:tc>
          <w:tcPr>
            <w:tcW w:w="2835"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氧化钾(K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O)的质量分数</w:t>
            </w:r>
          </w:p>
        </w:tc>
        <w:tc>
          <w:tcPr>
            <w:tcW w:w="2835" w:type="dxa"/>
            <w:tcBorders>
              <w:tl2br w:val="nil"/>
              <w:tr2bl w:val="nil"/>
            </w:tcBorders>
            <w:shd w:val="clear" w:color="auto" w:fill="auto"/>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水分(H</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O)的质量分数</w:t>
            </w:r>
          </w:p>
        </w:tc>
        <w:tc>
          <w:tcPr>
            <w:tcW w:w="2835" w:type="dxa"/>
            <w:tcBorders>
              <w:tl2br w:val="nil"/>
              <w:tr2bl w:val="nil"/>
            </w:tcBorders>
            <w:shd w:val="clear" w:color="auto" w:fill="auto"/>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氯化钠(NaCl)的质量分数</w:t>
            </w:r>
          </w:p>
        </w:tc>
        <w:tc>
          <w:tcPr>
            <w:tcW w:w="2835" w:type="dxa"/>
            <w:tcBorders>
              <w:tl2br w:val="nil"/>
              <w:tr2bl w:val="nil"/>
            </w:tcBorders>
            <w:shd w:val="clear" w:color="auto" w:fill="auto"/>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水不溶物的质量分数</w:t>
            </w:r>
          </w:p>
        </w:tc>
        <w:tc>
          <w:tcPr>
            <w:tcW w:w="2835"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NY/T 1973-2021</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vMerge w:val="restart"/>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1843" w:type="dxa"/>
            <w:vMerge w:val="restart"/>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粒</w:t>
            </w:r>
            <w:r>
              <w:rPr>
                <w:rFonts w:hint="default" w:ascii="Times New Roman" w:hAnsi="Times New Roman" w:cs="Times New Roman"/>
                <w:color w:val="auto"/>
                <w:kern w:val="0"/>
                <w:szCs w:val="21"/>
              </w:rPr>
              <w:t>度</w:t>
            </w:r>
            <w:r>
              <w:rPr>
                <w:rFonts w:hint="default" w:ascii="Times New Roman" w:hAnsi="Times New Roman" w:cs="Times New Roman"/>
                <w:color w:val="auto"/>
                <w:kern w:val="0"/>
                <w:sz w:val="21"/>
                <w:szCs w:val="21"/>
                <w:vertAlign w:val="superscript"/>
              </w:rPr>
              <w:t>b</w:t>
            </w:r>
          </w:p>
        </w:tc>
        <w:tc>
          <w:tcPr>
            <w:tcW w:w="3260"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1.00mm~4.75mm</w:t>
            </w:r>
          </w:p>
        </w:tc>
        <w:tc>
          <w:tcPr>
            <w:tcW w:w="2835" w:type="dxa"/>
            <w:vMerge w:val="restart"/>
            <w:tcBorders>
              <w:tl2br w:val="nil"/>
              <w:tr2bl w:val="nil"/>
            </w:tcBorders>
            <w:shd w:val="clear" w:color="auto" w:fill="auto"/>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24891-2010</w:t>
            </w:r>
          </w:p>
          <w:p>
            <w:pPr>
              <w:jc w:val="center"/>
              <w:rPr>
                <w:rFonts w:hint="default" w:ascii="Times New Roman" w:hAnsi="Times New Roman" w:cs="Times New Roman"/>
                <w:kern w:val="0"/>
                <w:szCs w:val="21"/>
              </w:rPr>
            </w:pPr>
            <w:r>
              <w:rPr>
                <w:rFonts w:hint="default" w:ascii="Times New Roman" w:hAnsi="Times New Roman" w:cs="Times New Roman"/>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vMerge w:val="continue"/>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1843" w:type="dxa"/>
            <w:vMerge w:val="continue"/>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p>
        </w:tc>
        <w:tc>
          <w:tcPr>
            <w:tcW w:w="3260"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2.00mm~4.00mm</w:t>
            </w:r>
          </w:p>
        </w:tc>
        <w:tc>
          <w:tcPr>
            <w:tcW w:w="2835" w:type="dxa"/>
            <w:vMerge w:val="continue"/>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颗粒平均抗压碎力</w:t>
            </w:r>
          </w:p>
        </w:tc>
        <w:tc>
          <w:tcPr>
            <w:tcW w:w="2835" w:type="dxa"/>
            <w:tcBorders>
              <w:tl2br w:val="nil"/>
              <w:tr2bl w:val="nil"/>
            </w:tcBorders>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2835" w:type="dxa"/>
            <w:tcBorders>
              <w:tl2br w:val="nil"/>
              <w:tr2bl w:val="nil"/>
            </w:tcBorders>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99" w:type="dxa"/>
            <w:tcBorders>
              <w:tl2br w:val="nil"/>
              <w:tr2bl w:val="nil"/>
            </w:tcBorders>
            <w:shd w:val="clear" w:color="auto" w:fill="auto"/>
            <w:vAlign w:val="center"/>
          </w:tcPr>
          <w:p>
            <w:pPr>
              <w:pStyle w:val="13"/>
              <w:widowControl/>
              <w:numPr>
                <w:ilvl w:val="0"/>
                <w:numId w:val="2"/>
              </w:numPr>
              <w:ind w:firstLineChars="0"/>
              <w:jc w:val="center"/>
              <w:rPr>
                <w:rFonts w:hint="default" w:ascii="Times New Roman" w:hAnsi="Times New Roman" w:eastAsia="宋体" w:cs="Times New Roman"/>
                <w:color w:val="000000"/>
                <w:kern w:val="0"/>
                <w:szCs w:val="21"/>
              </w:rPr>
            </w:pPr>
          </w:p>
        </w:tc>
        <w:tc>
          <w:tcPr>
            <w:tcW w:w="5103" w:type="dxa"/>
            <w:gridSpan w:val="2"/>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包装标识（养分含量、名称中的禁用语</w:t>
            </w:r>
            <w:r>
              <w:rPr>
                <w:rFonts w:hint="default" w:ascii="Times New Roman" w:hAnsi="Times New Roman" w:cs="Times New Roman"/>
                <w:kern w:val="0"/>
                <w:szCs w:val="21"/>
                <w:lang w:val="en-US" w:eastAsia="zh-CN"/>
              </w:rPr>
              <w:t>等</w:t>
            </w:r>
            <w:r>
              <w:rPr>
                <w:rFonts w:hint="default" w:ascii="Times New Roman" w:hAnsi="Times New Roman" w:cs="Times New Roman"/>
                <w:kern w:val="0"/>
                <w:szCs w:val="21"/>
              </w:rPr>
              <w:t>）</w:t>
            </w:r>
          </w:p>
        </w:tc>
        <w:tc>
          <w:tcPr>
            <w:tcW w:w="2835"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 18382-2021</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99" w:type="dxa"/>
            <w:tcBorders>
              <w:tl2br w:val="nil"/>
              <w:tr2bl w:val="nil"/>
            </w:tcBorders>
            <w:shd w:val="clear" w:color="auto" w:fill="auto"/>
            <w:vAlign w:val="center"/>
          </w:tcPr>
          <w:p>
            <w:pPr>
              <w:pStyle w:val="13"/>
              <w:widowControl/>
              <w:ind w:firstLine="0" w:firstLineChars="0"/>
              <w:rPr>
                <w:rFonts w:hint="default" w:ascii="Times New Roman" w:hAnsi="Times New Roman" w:eastAsia="宋体" w:cs="Times New Roman"/>
                <w:color w:val="FF0000"/>
                <w:kern w:val="0"/>
                <w:szCs w:val="21"/>
              </w:rPr>
            </w:pPr>
            <w:r>
              <w:rPr>
                <w:rFonts w:hint="default" w:ascii="Times New Roman" w:hAnsi="Times New Roman" w:eastAsia="宋体" w:cs="Times New Roman"/>
                <w:kern w:val="0"/>
                <w:szCs w:val="21"/>
              </w:rPr>
              <w:t>说明</w:t>
            </w:r>
          </w:p>
        </w:tc>
        <w:tc>
          <w:tcPr>
            <w:tcW w:w="7938" w:type="dxa"/>
            <w:gridSpan w:val="3"/>
            <w:tcBorders>
              <w:tl2br w:val="nil"/>
              <w:tr2bl w:val="nil"/>
            </w:tcBorders>
            <w:shd w:val="clear" w:color="auto" w:fill="auto"/>
            <w:vAlign w:val="center"/>
          </w:tcPr>
          <w:p>
            <w:pPr>
              <w:widowControl/>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a除水分外,各组分质量分数均以干基计</w:t>
            </w:r>
          </w:p>
          <w:p>
            <w:pPr>
              <w:widowControl/>
              <w:jc w:val="left"/>
              <w:rPr>
                <w:rFonts w:hint="default" w:ascii="Times New Roman" w:hAnsi="Times New Roman" w:cs="Times New Roman"/>
                <w:kern w:val="0"/>
                <w:szCs w:val="21"/>
              </w:rPr>
            </w:pPr>
            <w:r>
              <w:rPr>
                <w:rFonts w:hint="default" w:ascii="Times New Roman" w:hAnsi="Times New Roman" w:cs="Times New Roman"/>
                <w:kern w:val="0"/>
                <w:szCs w:val="21"/>
              </w:rPr>
              <w:t>b只需符合两档中任意一档即可。颗粒状产品的粒度,也可执行供需双方合同约定的指标。</w:t>
            </w:r>
          </w:p>
        </w:tc>
      </w:tr>
    </w:tbl>
    <w:p>
      <w:pPr>
        <w:adjustRightInd w:val="0"/>
        <w:snapToGrid w:val="0"/>
        <w:spacing w:line="440" w:lineRule="exact"/>
        <w:jc w:val="center"/>
        <w:rPr>
          <w:rFonts w:hint="default" w:ascii="Times New Roman" w:hAnsi="Times New Roman" w:cs="Times New Roman"/>
          <w:bCs/>
          <w:color w:val="000000"/>
          <w:szCs w:val="21"/>
        </w:rPr>
      </w:pPr>
    </w:p>
    <w:p>
      <w:pPr>
        <w:adjustRightInd w:val="0"/>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表3农业用硝酸钾</w:t>
      </w:r>
    </w:p>
    <w:tbl>
      <w:tblPr>
        <w:tblStyle w:val="6"/>
        <w:tblW w:w="8637"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67"/>
        <w:gridCol w:w="326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675"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序号</w:t>
            </w:r>
          </w:p>
        </w:tc>
        <w:tc>
          <w:tcPr>
            <w:tcW w:w="5127" w:type="dxa"/>
            <w:gridSpan w:val="2"/>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检验项目</w:t>
            </w:r>
          </w:p>
        </w:tc>
        <w:tc>
          <w:tcPr>
            <w:tcW w:w="2835"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氧化钾(K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O)的质量分数</w:t>
            </w:r>
          </w:p>
        </w:tc>
        <w:tc>
          <w:tcPr>
            <w:tcW w:w="2835" w:type="dxa"/>
            <w:tcBorders>
              <w:tl2br w:val="nil"/>
              <w:tr2bl w:val="nil"/>
            </w:tcBorders>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20784-2018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总氮(N)的质量分数</w:t>
            </w:r>
          </w:p>
        </w:tc>
        <w:tc>
          <w:tcPr>
            <w:tcW w:w="2835" w:type="dxa"/>
            <w:tcBorders>
              <w:tl2br w:val="nil"/>
              <w:tr2bl w:val="nil"/>
            </w:tcBorders>
            <w:shd w:val="clear" w:color="auto" w:fill="auto"/>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20784-2018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氯离子(Cl</w:t>
            </w:r>
            <w:r>
              <w:rPr>
                <w:rFonts w:hint="default" w:ascii="Times New Roman" w:hAnsi="Times New Roman" w:cs="Times New Roman"/>
                <w:color w:val="000000"/>
                <w:kern w:val="0"/>
                <w:szCs w:val="21"/>
                <w:vertAlign w:val="superscript"/>
              </w:rPr>
              <w:t>-</w:t>
            </w:r>
            <w:r>
              <w:rPr>
                <w:rFonts w:hint="default" w:ascii="Times New Roman" w:hAnsi="Times New Roman" w:cs="Times New Roman"/>
                <w:color w:val="000000"/>
                <w:kern w:val="0"/>
                <w:szCs w:val="21"/>
              </w:rPr>
              <w:t>)的质量分数</w:t>
            </w:r>
          </w:p>
        </w:tc>
        <w:tc>
          <w:tcPr>
            <w:tcW w:w="2835"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24890-2010</w:t>
            </w:r>
          </w:p>
          <w:p>
            <w:pPr>
              <w:jc w:val="center"/>
              <w:rPr>
                <w:rFonts w:hint="default" w:ascii="Times New Roman" w:hAnsi="Times New Roman" w:cs="Times New Roman"/>
                <w:kern w:val="0"/>
                <w:szCs w:val="21"/>
              </w:rPr>
            </w:pPr>
            <w:r>
              <w:rPr>
                <w:rFonts w:hint="default" w:ascii="Times New Roman" w:hAnsi="Times New Roman" w:cs="Times New Roman"/>
                <w:kern w:val="0"/>
                <w:szCs w:val="21"/>
              </w:rPr>
              <w:t>GB/T 20784-2018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水分(H</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O)的质量分数</w:t>
            </w:r>
          </w:p>
        </w:tc>
        <w:tc>
          <w:tcPr>
            <w:tcW w:w="2835"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20784-2018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水不溶物的质量分数</w:t>
            </w:r>
          </w:p>
        </w:tc>
        <w:tc>
          <w:tcPr>
            <w:tcW w:w="2835"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1918-2011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Merge w:val="restart"/>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1867" w:type="dxa"/>
            <w:vMerge w:val="restart"/>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粒度</w:t>
            </w:r>
            <w:r>
              <w:rPr>
                <w:rFonts w:hint="default" w:ascii="Times New Roman" w:hAnsi="Times New Roman" w:cs="Times New Roman"/>
                <w:color w:val="000000"/>
                <w:kern w:val="0"/>
                <w:szCs w:val="21"/>
                <w:vertAlign w:val="superscript"/>
              </w:rPr>
              <w:t>a</w:t>
            </w:r>
          </w:p>
        </w:tc>
        <w:tc>
          <w:tcPr>
            <w:tcW w:w="3260"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1.00mm~4.75mm</w:t>
            </w:r>
          </w:p>
        </w:tc>
        <w:tc>
          <w:tcPr>
            <w:tcW w:w="2835" w:type="dxa"/>
            <w:vMerge w:val="restart"/>
            <w:tcBorders>
              <w:tl2br w:val="nil"/>
              <w:tr2bl w:val="nil"/>
            </w:tcBorders>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24891-2010</w:t>
            </w:r>
          </w:p>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20784-2018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Merge w:val="continue"/>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1867" w:type="dxa"/>
            <w:vMerge w:val="continue"/>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p>
        </w:tc>
        <w:tc>
          <w:tcPr>
            <w:tcW w:w="3260"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1.00mm以下</w:t>
            </w:r>
          </w:p>
        </w:tc>
        <w:tc>
          <w:tcPr>
            <w:tcW w:w="2835" w:type="dxa"/>
            <w:vMerge w:val="continue"/>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2835"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2835" w:type="dxa"/>
            <w:tcBorders>
              <w:tl2br w:val="nil"/>
              <w:tr2bl w:val="nil"/>
            </w:tcBorders>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color w:val="000000"/>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Cs w:val="21"/>
              </w:rPr>
              <w:t>缩二脲</w:t>
            </w:r>
          </w:p>
        </w:tc>
        <w:tc>
          <w:tcPr>
            <w:tcW w:w="2835" w:type="dxa"/>
            <w:tcBorders>
              <w:tl2br w:val="nil"/>
              <w:tr2bl w:val="nil"/>
            </w:tcBorders>
            <w:shd w:val="clear" w:color="auto" w:fill="auto"/>
            <w:vAlign w:val="center"/>
          </w:tcPr>
          <w:p>
            <w:pPr>
              <w:widowControl/>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Cs w:val="21"/>
              </w:rPr>
              <w:t>GB/T 22924—20</w:t>
            </w:r>
            <w:r>
              <w:rPr>
                <w:rFonts w:hint="eastAsia" w:ascii="Times New Roman" w:hAnsi="Times New Roman" w:eastAsia="宋体" w:cs="Times New Roman"/>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5" w:type="dxa"/>
            <w:tcBorders>
              <w:tl2br w:val="nil"/>
              <w:tr2bl w:val="nil"/>
            </w:tcBorders>
            <w:shd w:val="clear" w:color="auto" w:fill="auto"/>
            <w:vAlign w:val="center"/>
          </w:tcPr>
          <w:p>
            <w:pPr>
              <w:pStyle w:val="13"/>
              <w:widowControl/>
              <w:numPr>
                <w:ilvl w:val="0"/>
                <w:numId w:val="3"/>
              </w:numPr>
              <w:ind w:firstLineChars="0"/>
              <w:jc w:val="center"/>
              <w:rPr>
                <w:rFonts w:hint="default" w:ascii="Times New Roman" w:hAnsi="Times New Roman" w:eastAsia="宋体" w:cs="Times New Roman"/>
                <w:kern w:val="0"/>
                <w:szCs w:val="21"/>
              </w:rPr>
            </w:pPr>
          </w:p>
        </w:tc>
        <w:tc>
          <w:tcPr>
            <w:tcW w:w="5127" w:type="dxa"/>
            <w:gridSpan w:val="2"/>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包装标识（养分含量、名称中的禁用语</w:t>
            </w:r>
            <w:r>
              <w:rPr>
                <w:rFonts w:hint="default" w:ascii="Times New Roman" w:hAnsi="Times New Roman" w:cs="Times New Roman"/>
                <w:kern w:val="0"/>
                <w:szCs w:val="21"/>
                <w:lang w:val="en-US" w:eastAsia="zh-CN"/>
              </w:rPr>
              <w:t>等</w:t>
            </w:r>
            <w:r>
              <w:rPr>
                <w:rFonts w:hint="default" w:ascii="Times New Roman" w:hAnsi="Times New Roman" w:cs="Times New Roman"/>
                <w:kern w:val="0"/>
                <w:szCs w:val="21"/>
              </w:rPr>
              <w:t>）</w:t>
            </w:r>
          </w:p>
        </w:tc>
        <w:tc>
          <w:tcPr>
            <w:tcW w:w="2835"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 18382-2021</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20784-2018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5" w:type="dxa"/>
            <w:tcBorders>
              <w:tl2br w:val="nil"/>
              <w:tr2bl w:val="nil"/>
            </w:tcBorders>
            <w:shd w:val="clear" w:color="auto" w:fill="auto"/>
            <w:vAlign w:val="center"/>
          </w:tcPr>
          <w:p>
            <w:pPr>
              <w:pStyle w:val="13"/>
              <w:widowControl/>
              <w:ind w:firstLine="0" w:firstLineChars="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说明</w:t>
            </w:r>
          </w:p>
        </w:tc>
        <w:tc>
          <w:tcPr>
            <w:tcW w:w="7962" w:type="dxa"/>
            <w:gridSpan w:val="3"/>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a结晶状产品的粒度不做规定。粒状产品的粒度,也可执行供需双方合同约定的指标。</w:t>
            </w:r>
          </w:p>
        </w:tc>
      </w:tr>
    </w:tbl>
    <w:p>
      <w:pPr>
        <w:snapToGrid w:val="0"/>
        <w:spacing w:line="440" w:lineRule="exact"/>
        <w:jc w:val="center"/>
        <w:rPr>
          <w:rFonts w:hint="default" w:ascii="Times New Roman" w:hAnsi="Times New Roman" w:cs="Times New Roman"/>
          <w:bCs/>
          <w:szCs w:val="21"/>
        </w:rPr>
      </w:pPr>
    </w:p>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表4 氯化钾</w:t>
      </w:r>
    </w:p>
    <w:tbl>
      <w:tblPr>
        <w:tblStyle w:val="6"/>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4582"/>
        <w:gridCol w:w="3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27" w:type="dxa"/>
            <w:vMerge w:val="restart"/>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序号</w:t>
            </w:r>
          </w:p>
        </w:tc>
        <w:tc>
          <w:tcPr>
            <w:tcW w:w="4582" w:type="dxa"/>
            <w:vMerge w:val="restart"/>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检验项目</w:t>
            </w:r>
          </w:p>
        </w:tc>
        <w:tc>
          <w:tcPr>
            <w:tcW w:w="3245" w:type="dxa"/>
            <w:vMerge w:val="restart"/>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27" w:type="dxa"/>
            <w:vMerge w:val="continue"/>
            <w:vAlign w:val="center"/>
          </w:tcPr>
          <w:p>
            <w:pPr>
              <w:spacing w:line="440" w:lineRule="exact"/>
              <w:jc w:val="center"/>
              <w:rPr>
                <w:rFonts w:hint="default" w:ascii="Times New Roman" w:hAnsi="Times New Roman" w:cs="Times New Roman"/>
                <w:szCs w:val="21"/>
              </w:rPr>
            </w:pPr>
          </w:p>
        </w:tc>
        <w:tc>
          <w:tcPr>
            <w:tcW w:w="4582" w:type="dxa"/>
            <w:vMerge w:val="continue"/>
            <w:vAlign w:val="center"/>
          </w:tcPr>
          <w:p>
            <w:pPr>
              <w:spacing w:line="440" w:lineRule="exact"/>
              <w:jc w:val="center"/>
              <w:rPr>
                <w:rFonts w:hint="default" w:ascii="Times New Roman" w:hAnsi="Times New Roman" w:cs="Times New Roman"/>
                <w:szCs w:val="21"/>
              </w:rPr>
            </w:pPr>
          </w:p>
        </w:tc>
        <w:tc>
          <w:tcPr>
            <w:tcW w:w="3245" w:type="dxa"/>
            <w:vMerge w:val="continue"/>
            <w:vAlign w:val="center"/>
          </w:tcPr>
          <w:p>
            <w:pPr>
              <w:spacing w:line="440" w:lineRule="exact"/>
              <w:jc w:val="cente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氧化钾（K</w:t>
            </w:r>
            <w:r>
              <w:rPr>
                <w:rFonts w:hint="default" w:ascii="Times New Roman" w:hAnsi="Times New Roman" w:cs="Times New Roman"/>
                <w:szCs w:val="21"/>
                <w:vertAlign w:val="subscript"/>
              </w:rPr>
              <w:t>2</w:t>
            </w:r>
            <w:r>
              <w:rPr>
                <w:rFonts w:hint="default" w:ascii="Times New Roman" w:hAnsi="Times New Roman" w:cs="Times New Roman"/>
                <w:szCs w:val="21"/>
              </w:rPr>
              <w:t>O）的质量分数</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6549-2011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水分（H</w:t>
            </w:r>
            <w:r>
              <w:rPr>
                <w:rFonts w:hint="default" w:ascii="Times New Roman" w:hAnsi="Times New Roman" w:cs="Times New Roman"/>
                <w:szCs w:val="21"/>
                <w:vertAlign w:val="subscript"/>
              </w:rPr>
              <w:t>2</w:t>
            </w:r>
            <w:r>
              <w:rPr>
                <w:rFonts w:hint="default" w:ascii="Times New Roman" w:hAnsi="Times New Roman" w:cs="Times New Roman"/>
                <w:szCs w:val="21"/>
              </w:rPr>
              <w:t>O）的质量分数</w:t>
            </w:r>
            <w:r>
              <w:rPr>
                <w:rFonts w:hint="default" w:ascii="Times New Roman" w:hAnsi="Times New Roman" w:cs="Times New Roman"/>
                <w:szCs w:val="21"/>
                <w:vertAlign w:val="superscript"/>
              </w:rPr>
              <w:t>a</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6549-2011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总砷</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总镉</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总铅</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总铬</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总汞</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总铊</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9</w:t>
            </w:r>
          </w:p>
        </w:tc>
        <w:tc>
          <w:tcPr>
            <w:tcW w:w="4582"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包装标识（养分含量、名称中的禁</w:t>
            </w:r>
            <w:r>
              <w:rPr>
                <w:rFonts w:hint="default" w:ascii="Times New Roman" w:hAnsi="Times New Roman" w:cs="Times New Roman"/>
                <w:color w:val="auto"/>
                <w:kern w:val="0"/>
                <w:szCs w:val="21"/>
              </w:rPr>
              <w:t>用语</w:t>
            </w:r>
            <w:r>
              <w:rPr>
                <w:rFonts w:hint="eastAsia" w:cs="Times New Roman"/>
                <w:color w:val="auto"/>
                <w:kern w:val="0"/>
                <w:szCs w:val="21"/>
                <w:lang w:val="en-US" w:eastAsia="zh-CN"/>
              </w:rPr>
              <w:t>等</w:t>
            </w:r>
            <w:r>
              <w:rPr>
                <w:rFonts w:hint="default" w:ascii="Times New Roman" w:hAnsi="Times New Roman" w:cs="Times New Roman"/>
                <w:color w:val="auto"/>
                <w:kern w:val="0"/>
                <w:szCs w:val="21"/>
              </w:rPr>
              <w:t>）</w:t>
            </w:r>
          </w:p>
        </w:tc>
        <w:tc>
          <w:tcPr>
            <w:tcW w:w="3245" w:type="dxa"/>
            <w:vAlign w:val="center"/>
          </w:tcPr>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18382-2021</w:t>
            </w:r>
          </w:p>
          <w:p>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6549-2011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7" w:type="dxa"/>
            <w:vAlign w:val="center"/>
          </w:tcPr>
          <w:p>
            <w:pPr>
              <w:pStyle w:val="13"/>
              <w:widowControl/>
              <w:ind w:firstLine="0" w:firstLineChars="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说明</w:t>
            </w:r>
          </w:p>
        </w:tc>
        <w:tc>
          <w:tcPr>
            <w:tcW w:w="7827" w:type="dxa"/>
            <w:gridSpan w:val="2"/>
            <w:vAlign w:val="center"/>
          </w:tcPr>
          <w:p>
            <w:pPr>
              <w:widowControl/>
              <w:rPr>
                <w:rFonts w:hint="default" w:ascii="Times New Roman" w:hAnsi="Times New Roman" w:eastAsia="宋体" w:cs="Times New Roman"/>
                <w:kern w:val="0"/>
                <w:szCs w:val="21"/>
                <w:lang w:eastAsia="zh-CN"/>
              </w:rPr>
            </w:pPr>
            <w:r>
              <w:rPr>
                <w:rFonts w:hint="default" w:ascii="Times New Roman" w:hAnsi="Times New Roman" w:cs="Times New Roman"/>
                <w:color w:val="auto"/>
                <w:kern w:val="0"/>
                <w:szCs w:val="21"/>
              </w:rPr>
              <w:t>a除水分外,各组分质量分数均以干基计</w:t>
            </w:r>
            <w:r>
              <w:rPr>
                <w:rFonts w:hint="default" w:ascii="Times New Roman" w:hAnsi="Times New Roman" w:cs="Times New Roman"/>
                <w:color w:val="auto"/>
                <w:kern w:val="0"/>
                <w:szCs w:val="21"/>
                <w:lang w:eastAsia="zh-CN"/>
              </w:rPr>
              <w:t>。</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default" w:ascii="Times New Roman" w:hAnsi="Times New Roman" w:cs="Times New Roman"/>
          <w:color w:val="00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snapToGrid w:val="0"/>
        <w:spacing w:line="440" w:lineRule="exact"/>
        <w:rPr>
          <w:rFonts w:hint="default" w:ascii="Times New Roman" w:hAnsi="Times New Roman" w:cs="Times New Roman"/>
          <w:bCs/>
          <w:color w:val="000000"/>
          <w:szCs w:val="21"/>
        </w:rPr>
      </w:pPr>
      <w:r>
        <w:rPr>
          <w:rFonts w:hint="default" w:ascii="Times New Roman" w:hAnsi="Times New Roman" w:cs="Times New Roman"/>
          <w:color w:val="000000"/>
          <w:szCs w:val="21"/>
        </w:rPr>
        <w:t>3.1依据标准</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 18382-2021 肥料标识 内容和要求</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 38400-2019肥料中有毒有害物质的限量要求</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20406-2017 农业用硫酸钾</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20784-2018 农业用硝酸钾</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37918-2019 肥料级氯化钾</w:t>
      </w:r>
    </w:p>
    <w:p>
      <w:pPr>
        <w:spacing w:line="440" w:lineRule="exact"/>
        <w:ind w:firstLine="420" w:firstLineChars="200"/>
        <w:rPr>
          <w:rFonts w:hint="default" w:ascii="Times New Roman" w:hAnsi="Times New Roman" w:cs="Times New Roman"/>
          <w:bCs/>
          <w:szCs w:val="21"/>
        </w:rPr>
      </w:pPr>
      <w:r>
        <w:rPr>
          <w:rFonts w:hint="default" w:ascii="Times New Roman" w:hAnsi="Times New Roman" w:cs="Times New Roman"/>
          <w:bCs/>
          <w:szCs w:val="21"/>
        </w:rPr>
        <w:t>GB/T 6549-2011氯化钾</w:t>
      </w:r>
    </w:p>
    <w:p>
      <w:pPr>
        <w:spacing w:line="440" w:lineRule="exact"/>
        <w:ind w:firstLine="420" w:firstLineChars="200"/>
        <w:rPr>
          <w:rFonts w:hint="default" w:ascii="Times New Roman" w:hAnsi="Times New Roman" w:cs="Times New Roman"/>
          <w:bCs/>
          <w:strike/>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4 附则</w:t>
      </w:r>
    </w:p>
    <w:p>
      <w:pPr>
        <w:snapToGrid w:val="0"/>
        <w:spacing w:line="440" w:lineRule="exact"/>
        <w:ind w:firstLine="42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本细则代替《贵州省市场</w:t>
      </w:r>
      <w:r>
        <w:rPr>
          <w:rFonts w:hint="eastAsia" w:cs="Times New Roman"/>
          <w:color w:val="000000" w:themeColor="text1"/>
          <w:lang w:val="en-US" w:eastAsia="zh-CN"/>
          <w14:textFill>
            <w14:solidFill>
              <w14:schemeClr w14:val="tx1"/>
            </w14:solidFill>
          </w14:textFill>
        </w:rPr>
        <w:t>监督管理局</w:t>
      </w:r>
      <w:r>
        <w:rPr>
          <w:rFonts w:hint="default" w:ascii="Times New Roman" w:hAnsi="Times New Roman" w:cs="Times New Roman"/>
          <w:color w:val="000000" w:themeColor="text1"/>
          <w:lang w:eastAsia="zh-CN"/>
          <w14:textFill>
            <w14:solidFill>
              <w14:schemeClr w14:val="tx1"/>
            </w14:solidFill>
          </w14:textFill>
        </w:rPr>
        <w:t>关于发布</w:t>
      </w:r>
      <w:r>
        <w:rPr>
          <w:rFonts w:hint="eastAsia" w:cs="Times New Roman"/>
          <w:color w:val="000000" w:themeColor="text1"/>
          <w:lang w:val="en-US" w:eastAsia="zh-CN"/>
          <w14:textFill>
            <w14:solidFill>
              <w14:schemeClr w14:val="tx1"/>
            </w14:solidFill>
          </w14:textFill>
        </w:rPr>
        <w:t>贵州省</w:t>
      </w:r>
      <w:r>
        <w:rPr>
          <w:rFonts w:hint="default" w:ascii="Times New Roman" w:hAnsi="Times New Roman" w:cs="Times New Roman"/>
          <w:color w:val="000000" w:themeColor="text1"/>
          <w:lang w:eastAsia="zh-CN"/>
          <w14:textFill>
            <w14:solidFill>
              <w14:schemeClr w14:val="tx1"/>
            </w14:solidFill>
          </w14:textFill>
        </w:rPr>
        <w:t>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年版</w:t>
      </w:r>
      <w:r>
        <w:rPr>
          <w:rFonts w:hint="eastAsia" w:cs="Times New Roman"/>
          <w:color w:val="000000" w:themeColor="text1"/>
          <w:lang w:val="en-US" w:eastAsia="zh-CN"/>
          <w14:textFill>
            <w14:solidFill>
              <w14:schemeClr w14:val="tx1"/>
            </w14:solidFill>
          </w14:textFill>
        </w:rPr>
        <w:t>安抚奶嘴</w:t>
      </w:r>
      <w:r>
        <w:rPr>
          <w:rFonts w:hint="default" w:ascii="Times New Roman" w:hAnsi="Times New Roman" w:cs="Times New Roman"/>
          <w:color w:val="000000" w:themeColor="text1"/>
          <w:lang w:eastAsia="zh-CN"/>
          <w14:textFill>
            <w14:solidFill>
              <w14:schemeClr w14:val="tx1"/>
            </w14:solidFill>
          </w14:textFill>
        </w:rPr>
        <w:t>等1</w:t>
      </w:r>
      <w:r>
        <w:rPr>
          <w:rFonts w:hint="eastAsia" w:cs="Times New Roman"/>
          <w:color w:val="000000" w:themeColor="text1"/>
          <w:lang w:val="en-US" w:eastAsia="zh-CN"/>
          <w14:textFill>
            <w14:solidFill>
              <w14:schemeClr w14:val="tx1"/>
            </w14:solidFill>
          </w14:textFill>
        </w:rPr>
        <w:t>86</w:t>
      </w:r>
      <w:r>
        <w:rPr>
          <w:rFonts w:hint="default" w:ascii="Times New Roman" w:hAnsi="Times New Roman" w:cs="Times New Roman"/>
          <w:color w:val="000000" w:themeColor="text1"/>
          <w:lang w:eastAsia="zh-CN"/>
          <w14:textFill>
            <w14:solidFill>
              <w14:schemeClr w14:val="tx1"/>
            </w14:solidFill>
          </w14:textFill>
        </w:rPr>
        <w:t>种产品质量监督抽查实施细则的</w:t>
      </w:r>
      <w:r>
        <w:rPr>
          <w:rFonts w:hint="eastAsia" w:cs="Times New Roman"/>
          <w:color w:val="000000" w:themeColor="text1"/>
          <w:lang w:val="en-US" w:eastAsia="zh-CN"/>
          <w14:textFill>
            <w14:solidFill>
              <w14:schemeClr w14:val="tx1"/>
            </w14:solidFill>
          </w14:textFill>
        </w:rPr>
        <w:t>通</w:t>
      </w:r>
      <w:r>
        <w:rPr>
          <w:rFonts w:hint="default" w:ascii="Times New Roman" w:hAnsi="Times New Roman" w:cs="Times New Roman"/>
          <w:color w:val="000000" w:themeColor="text1"/>
          <w:lang w:eastAsia="zh-CN"/>
          <w14:textFill>
            <w14:solidFill>
              <w14:schemeClr w14:val="tx1"/>
            </w14:solidFill>
          </w14:textFill>
        </w:rPr>
        <w:t>告》中的</w:t>
      </w:r>
      <w:r>
        <w:rPr>
          <w:rFonts w:hint="default" w:ascii="Times New Roman" w:hAnsi="Times New Roman" w:cs="Times New Roman"/>
          <w:color w:val="000000" w:themeColor="text1"/>
          <w14:textFill>
            <w14:solidFill>
              <w14:schemeClr w14:val="tx1"/>
            </w14:solidFill>
          </w14:textFill>
        </w:rPr>
        <w:t>《贵州省</w:t>
      </w:r>
      <w:r>
        <w:rPr>
          <w:rFonts w:hint="default" w:ascii="Times New Roman" w:hAnsi="Times New Roman" w:cs="Times New Roman"/>
          <w:color w:val="000000" w:themeColor="text1"/>
          <w:szCs w:val="21"/>
          <w14:textFill>
            <w14:solidFill>
              <w14:schemeClr w14:val="tx1"/>
            </w14:solidFill>
          </w14:textFill>
        </w:rPr>
        <w:t>钾肥</w:t>
      </w:r>
      <w:r>
        <w:rPr>
          <w:rFonts w:hint="default" w:ascii="Times New Roman" w:hAnsi="Times New Roman" w:cs="Times New Roman"/>
          <w:color w:val="000000" w:themeColor="text1"/>
          <w14:textFill>
            <w14:solidFill>
              <w14:schemeClr w14:val="tx1"/>
            </w14:solidFill>
          </w14:textFill>
        </w:rPr>
        <w:t>产品质量监督抽查实施细则（202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年版）》。</w:t>
      </w:r>
    </w:p>
    <w:p>
      <w:pPr>
        <w:snapToGrid w:val="0"/>
        <w:spacing w:line="440" w:lineRule="exact"/>
        <w:ind w:firstLine="420" w:firstLineChars="200"/>
        <w:rPr>
          <w:rFonts w:hint="default" w:ascii="Times New Roman" w:hAnsi="Times New Roman" w:cs="Times New Roman"/>
          <w:color w:val="00B0F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en-US"/>
      </w:rPr>
      <w:t>4</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ZmM4MTM5MmJlM2EyMDJmZmViNTJiYzBhZGZiMjcifQ=="/>
  </w:docVars>
  <w:rsids>
    <w:rsidRoot w:val="004D3BF8"/>
    <w:rsid w:val="000228AD"/>
    <w:rsid w:val="00031F85"/>
    <w:rsid w:val="00043AB1"/>
    <w:rsid w:val="000D1849"/>
    <w:rsid w:val="000D5C84"/>
    <w:rsid w:val="000E20A4"/>
    <w:rsid w:val="000F3245"/>
    <w:rsid w:val="00164FF3"/>
    <w:rsid w:val="00166C76"/>
    <w:rsid w:val="0022358D"/>
    <w:rsid w:val="00253961"/>
    <w:rsid w:val="002911CD"/>
    <w:rsid w:val="002C268A"/>
    <w:rsid w:val="00332BD1"/>
    <w:rsid w:val="003416E6"/>
    <w:rsid w:val="0034480B"/>
    <w:rsid w:val="003953E2"/>
    <w:rsid w:val="00395934"/>
    <w:rsid w:val="003A68C7"/>
    <w:rsid w:val="00430460"/>
    <w:rsid w:val="00485393"/>
    <w:rsid w:val="004B0BF1"/>
    <w:rsid w:val="004D3BF8"/>
    <w:rsid w:val="0050745C"/>
    <w:rsid w:val="00544B5F"/>
    <w:rsid w:val="00580601"/>
    <w:rsid w:val="005B3E58"/>
    <w:rsid w:val="005D7B1A"/>
    <w:rsid w:val="005F645A"/>
    <w:rsid w:val="006A221E"/>
    <w:rsid w:val="006C228F"/>
    <w:rsid w:val="006D6A3F"/>
    <w:rsid w:val="006E1782"/>
    <w:rsid w:val="00723038"/>
    <w:rsid w:val="00790F6A"/>
    <w:rsid w:val="007B02A5"/>
    <w:rsid w:val="007B4C61"/>
    <w:rsid w:val="007B76F9"/>
    <w:rsid w:val="007C0C72"/>
    <w:rsid w:val="0080621B"/>
    <w:rsid w:val="008144B3"/>
    <w:rsid w:val="00841E7C"/>
    <w:rsid w:val="0086488C"/>
    <w:rsid w:val="00866E35"/>
    <w:rsid w:val="008B64E0"/>
    <w:rsid w:val="008D1FF9"/>
    <w:rsid w:val="008F53AE"/>
    <w:rsid w:val="008F76C3"/>
    <w:rsid w:val="00971442"/>
    <w:rsid w:val="009E437C"/>
    <w:rsid w:val="009F672C"/>
    <w:rsid w:val="00A366F6"/>
    <w:rsid w:val="00A54050"/>
    <w:rsid w:val="00A87CD9"/>
    <w:rsid w:val="00AF62F3"/>
    <w:rsid w:val="00B50063"/>
    <w:rsid w:val="00B51F58"/>
    <w:rsid w:val="00BD17B3"/>
    <w:rsid w:val="00BE206F"/>
    <w:rsid w:val="00BE7653"/>
    <w:rsid w:val="00C30BF7"/>
    <w:rsid w:val="00C61351"/>
    <w:rsid w:val="00CA5B55"/>
    <w:rsid w:val="00D1258D"/>
    <w:rsid w:val="00D57475"/>
    <w:rsid w:val="00D653CF"/>
    <w:rsid w:val="00DA6627"/>
    <w:rsid w:val="00DB01C8"/>
    <w:rsid w:val="00DE33EC"/>
    <w:rsid w:val="00DF1571"/>
    <w:rsid w:val="00E03CF8"/>
    <w:rsid w:val="00E32A09"/>
    <w:rsid w:val="00E730D0"/>
    <w:rsid w:val="00E91A1D"/>
    <w:rsid w:val="00E95544"/>
    <w:rsid w:val="00EB7427"/>
    <w:rsid w:val="00EF7974"/>
    <w:rsid w:val="00F06FA4"/>
    <w:rsid w:val="00FC338C"/>
    <w:rsid w:val="00FD394E"/>
    <w:rsid w:val="02D67DF0"/>
    <w:rsid w:val="055379A1"/>
    <w:rsid w:val="0A2935F2"/>
    <w:rsid w:val="11570E1F"/>
    <w:rsid w:val="130C7F34"/>
    <w:rsid w:val="18C63A3E"/>
    <w:rsid w:val="1B7A1E7C"/>
    <w:rsid w:val="20B56347"/>
    <w:rsid w:val="21BE2BE8"/>
    <w:rsid w:val="25285E30"/>
    <w:rsid w:val="2B0873BB"/>
    <w:rsid w:val="2CE23E3D"/>
    <w:rsid w:val="2E261135"/>
    <w:rsid w:val="2E3E316C"/>
    <w:rsid w:val="346E41F8"/>
    <w:rsid w:val="39DD352E"/>
    <w:rsid w:val="3BE739E3"/>
    <w:rsid w:val="3C8310CB"/>
    <w:rsid w:val="3CF39845"/>
    <w:rsid w:val="3E8D609C"/>
    <w:rsid w:val="3FC108A4"/>
    <w:rsid w:val="474E2815"/>
    <w:rsid w:val="5BAA3048"/>
    <w:rsid w:val="5CD34356"/>
    <w:rsid w:val="634D442E"/>
    <w:rsid w:val="64674E57"/>
    <w:rsid w:val="652A0947"/>
    <w:rsid w:val="6C1C1151"/>
    <w:rsid w:val="6DA773FD"/>
    <w:rsid w:val="7DFF83AF"/>
    <w:rsid w:val="7E6B1242"/>
    <w:rsid w:val="7EFE5376"/>
    <w:rsid w:val="AF431470"/>
    <w:rsid w:val="D7F69A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lang w:val="zh-CN"/>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5">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8">
    <w:name w:val="page number"/>
    <w:qFormat/>
    <w:uiPriority w:val="0"/>
  </w:style>
  <w:style w:type="character" w:customStyle="1" w:styleId="9">
    <w:name w:val="页脚 字符"/>
    <w:basedOn w:val="7"/>
    <w:semiHidden/>
    <w:qFormat/>
    <w:uiPriority w:val="99"/>
    <w:rPr>
      <w:rFonts w:ascii="Times New Roman" w:hAnsi="Times New Roman" w:eastAsia="宋体" w:cs="Times New Roman"/>
      <w:sz w:val="18"/>
      <w:szCs w:val="18"/>
    </w:rPr>
  </w:style>
  <w:style w:type="character" w:customStyle="1" w:styleId="10">
    <w:name w:val="页脚 字符1"/>
    <w:link w:val="3"/>
    <w:qFormat/>
    <w:uiPriority w:val="99"/>
    <w:rPr>
      <w:rFonts w:ascii="Times New Roman" w:hAnsi="Times New Roman" w:eastAsia="宋体" w:cs="Times New Roman"/>
      <w:sz w:val="18"/>
      <w:szCs w:val="18"/>
      <w:lang w:val="zh-CN" w:eastAsia="zh-CN"/>
    </w:rPr>
  </w:style>
  <w:style w:type="character" w:customStyle="1" w:styleId="11">
    <w:name w:val="页眉 字符"/>
    <w:basedOn w:val="7"/>
    <w:semiHidden/>
    <w:qFormat/>
    <w:uiPriority w:val="99"/>
    <w:rPr>
      <w:rFonts w:ascii="Times New Roman" w:hAnsi="Times New Roman" w:eastAsia="宋体" w:cs="Times New Roman"/>
      <w:sz w:val="18"/>
      <w:szCs w:val="18"/>
    </w:rPr>
  </w:style>
  <w:style w:type="character" w:customStyle="1" w:styleId="12">
    <w:name w:val="页眉 字符1"/>
    <w:link w:val="4"/>
    <w:qFormat/>
    <w:uiPriority w:val="99"/>
    <w:rPr>
      <w:rFonts w:ascii="Times New Roman" w:hAnsi="Times New Roman" w:eastAsia="宋体" w:cs="Times New Roman"/>
      <w:sz w:val="18"/>
      <w:szCs w:val="18"/>
      <w:lang w:val="zh-CN" w:eastAsia="zh-CN"/>
    </w:rPr>
  </w:style>
  <w:style w:type="paragraph" w:styleId="13">
    <w:name w:val="List Paragraph"/>
    <w:basedOn w:val="1"/>
    <w:qFormat/>
    <w:uiPriority w:val="34"/>
    <w:pPr>
      <w:ind w:firstLine="420" w:firstLineChars="200"/>
    </w:pPr>
    <w:rPr>
      <w:rFonts w:ascii="等线" w:hAnsi="等线" w:eastAsia="等线"/>
      <w:szCs w:val="22"/>
    </w:rPr>
  </w:style>
  <w:style w:type="paragraph" w:customStyle="1" w:styleId="14">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5">
    <w:name w:val="批注框文本 字符"/>
    <w:basedOn w:val="7"/>
    <w:link w:val="2"/>
    <w:semiHidden/>
    <w:qFormat/>
    <w:uiPriority w:val="99"/>
    <w:rPr>
      <w:rFonts w:ascii="Times New Roman" w:hAnsi="Times New Roman" w:eastAsia="宋体" w:cs="Times New Roman"/>
      <w:kern w:val="2"/>
      <w:sz w:val="18"/>
      <w:szCs w:val="18"/>
    </w:rPr>
  </w:style>
  <w:style w:type="paragraph" w:customStyle="1" w:styleId="16">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1309</Words>
  <Characters>2153</Characters>
  <Lines>18</Lines>
  <Paragraphs>5</Paragraphs>
  <TotalTime>33</TotalTime>
  <ScaleCrop>false</ScaleCrop>
  <LinksUpToDate>false</LinksUpToDate>
  <CharactersWithSpaces>2226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2022-05-14T06:57:00Z</dcterms:created>
  <dc:creator>Admin</dc:creator>
  <cp:lastModifiedBy>ysgz</cp:lastModifiedBy>
  <cp:lastPrinted>2023-07-07T10:37:00Z</cp:lastPrinted>
  <dcterms:modified xsi:type="dcterms:W3CDTF">2026-04-20T16:56:12Z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BF13AD0C849948B38EFDE9B8FA5000BC_13</vt:lpwstr>
  </property>
  <property fmtid="{D5CDD505-2E9C-101B-9397-08002B2CF9AE}" pid="4" name="KSOTemplateDocerSaveRecord">
    <vt:lpwstr>eyJoZGlkIjoiYzNjY2JmMjNlMDllNWU1MDA5OTIxN2JjZTI4MjBkZTMiLCJ1c2VySWQiOiI0MDIwOTUwNjUifQ==</vt:lpwstr>
  </property>
</Properties>
</file>